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F0D" w:rsidRPr="003D1F0D" w:rsidRDefault="003D1F0D" w:rsidP="003D1F0D">
      <w:pPr>
        <w:spacing w:line="480" w:lineRule="auto"/>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Student’s Name</w:t>
      </w:r>
    </w:p>
    <w:p w:rsidR="003D1F0D" w:rsidRPr="003D1F0D" w:rsidRDefault="003D1F0D" w:rsidP="003D1F0D">
      <w:pPr>
        <w:spacing w:line="480" w:lineRule="auto"/>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Professor’s Name</w:t>
      </w:r>
    </w:p>
    <w:p w:rsidR="003D1F0D" w:rsidRPr="003D1F0D" w:rsidRDefault="003D1F0D" w:rsidP="003D1F0D">
      <w:pPr>
        <w:spacing w:line="480" w:lineRule="auto"/>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Course Details</w:t>
      </w:r>
    </w:p>
    <w:p w:rsidR="003D1F0D" w:rsidRPr="003D1F0D" w:rsidRDefault="003D1F0D" w:rsidP="003D1F0D">
      <w:pPr>
        <w:spacing w:line="480" w:lineRule="auto"/>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Date</w:t>
      </w:r>
    </w:p>
    <w:p w:rsidR="00692CB9" w:rsidRPr="003D1F0D" w:rsidRDefault="00692CB9" w:rsidP="003D1F0D">
      <w:pPr>
        <w:spacing w:line="480" w:lineRule="auto"/>
        <w:ind w:firstLine="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The African Freedom Struggle had been a constant battle with various changes in strategies and proponents during its course. The consciousness of civil rights and liberties to most minority communities led to critical attempts by movements and various activists to emphasize on more active and interactive response to violence and inequality, cultural pride, and self-reliance. Three critical activists are Martin Luther King Jr., Malcolm X, and Angela Davis. Each of the three people embodied different philosophies to integrate their struggle for freedom. The ideologies represented by the three are; nonviolence, violence, and self-defense, respectively. Despite their differed perspectives, each of the three figures was influential enough in the activist causes to impact significant revolution and inspire multiple generations. After comparison and contrast of the philosophies by Malcolm X, Angela Davis, and Martin Luther King Jr., it will be proven various perspectives can be adopted to accomplish similar tasks. </w:t>
      </w:r>
    </w:p>
    <w:p w:rsidR="00692CB9" w:rsidRPr="003D1F0D" w:rsidRDefault="00692CB9" w:rsidP="003D1F0D">
      <w:pPr>
        <w:spacing w:line="480" w:lineRule="auto"/>
        <w:ind w:firstLine="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On the side of Martin Luther King Jr., he served as a minister and also an activist. His actions had a pivotal influence in the advancement of Civil Rights in America, consequentially winning him a Nobel Peace Prize. King organized and promoted peaceful protests and structured them such that no violence was involved. Through his speeches and congregation of audiences, Martin brought about much-needed publicity to the efforts they garnered towards Civil Rights. Among his integral contribution, King was fundamental in the founding of the African American Civil Rights Movement. Even after the arrest of Rosa Parks, which bred the rise of the infamous </w:t>
      </w:r>
      <w:r w:rsidRPr="003D1F0D">
        <w:rPr>
          <w:rFonts w:ascii="Times New Roman" w:hAnsi="Times New Roman" w:cs="Times New Roman"/>
          <w:color w:val="1D1C14"/>
          <w:sz w:val="24"/>
          <w:shd w:val="clear" w:color="auto" w:fill="FFFFFF"/>
        </w:rPr>
        <w:lastRenderedPageBreak/>
        <w:t xml:space="preserve">bus boycott in 1955, King was appointed to lead in Montgomery as a fresh face. His influence was significant throughout the long-lasting boycott and arranging for the black community to help each other commute to work and home. </w:t>
      </w:r>
    </w:p>
    <w:p w:rsidR="00692CB9" w:rsidRPr="003D1F0D" w:rsidRDefault="00692CB9" w:rsidP="003D1F0D">
      <w:pPr>
        <w:spacing w:line="480" w:lineRule="auto"/>
        <w:ind w:firstLine="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Martin Luther King Jr. was also one of the founders of the South Christian Leadership Conference and served as its first president. King was also influential in Birmingham, Alabama, and even in Albany, Georgia, with efforts directed at fighting against segregation in the latter state. King also was a significant member of the organizing committee of the March of Washington, where he delivered his iconic 'I had a dream' speech in 1963. Two years later, he was also involved in the organizing committee of the Selma to Montgomery marches. King also influentially impacted the war against segregated housing in Chicago. As an activist, he objected against the involvement of America in the Vietnam wars and also fought poverty in America. He was also an organizer for the rally in Washington titled 'Poor People's Campaign,' but unfortunately was assassinated. </w:t>
      </w:r>
    </w:p>
    <w:p w:rsidR="00692CB9" w:rsidRPr="003D1F0D" w:rsidRDefault="00692CB9" w:rsidP="003D1F0D">
      <w:pPr>
        <w:spacing w:line="480" w:lineRule="auto"/>
        <w:ind w:firstLine="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Martin Luther King Jr. practiced principles which he delineated into six essential elements. The first element portrayed a picture of nonviolence through courage. Here, King spoke of the policy as emotionally, spiritually, and mentally aggressive, which would consequentially lead to persuade the enemy of the righteousness in your cause. The second element of nonviolence preached of the intent to create friendships and enhance understanding. The particular aspect highlights the principles of redemption and reconciliation as critical objectives (Nimtz, 2016, p. 4). King also illustrated that as an activist, the intent was defeating injustice but not people. Therefore, it was crucial to recognize and understand that evil does were just mere victims of the vilest intentions one is fighting against. </w:t>
      </w:r>
    </w:p>
    <w:p w:rsidR="00692CB9" w:rsidRPr="003D1F0D" w:rsidRDefault="00692CB9" w:rsidP="003D1F0D">
      <w:pPr>
        <w:spacing w:line="480" w:lineRule="auto"/>
        <w:ind w:firstLine="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lastRenderedPageBreak/>
        <w:t xml:space="preserve">Another additional element praised the need for love rather than hate in any movement. The concept was informative of the virtues for which the activists fought for and opted for active resistance rather than passive. King also critically assessed the need for love in the restoration of communities and strength against all forms of injustice, with the in-depth recognition that all life is interrelated. King also preached that nonviolence would mean that they'd have to suffer, which would be transformative and educational. It was the context of suffering that had the power to convert the enemy when reason couldn't. He, therefore, proposed that his movements should not inflict violence but endure through it. The last element highlighted by King was the total belief that the universe always favored the side of justice. The feature was the central argument that motivated the movement and retained faith in the cause. </w:t>
      </w:r>
    </w:p>
    <w:p w:rsidR="00692CB9" w:rsidRPr="003D1F0D" w:rsidRDefault="00692CB9" w:rsidP="003D1F0D">
      <w:pPr>
        <w:spacing w:line="480" w:lineRule="auto"/>
        <w:ind w:firstLine="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While arguing for nonviolence, Martin Luther King Junior detailed the chronological order of the social revolution. It was necessary to collect information, which follows through with educational channels to inform all parties involved in your stance. The next step required personal commitment from all participants, which King illustrated required daily affirmation of faith and the elimination of any hidden motives (Guth, 2012, p. 81). In the negotiation stage, King preached the need for intelligence, humor, and grace in the confrontations with opposing parties and looking at aspects of positivity across the table. Direct action was the consequential step following if the opposition demonstrated their unwillingness to stay within the negotiation phase. It was also critical to institute friendship and understanding as the opposing parties concluded. </w:t>
      </w:r>
    </w:p>
    <w:p w:rsidR="00692CB9" w:rsidRPr="003D1F0D" w:rsidRDefault="00692CB9" w:rsidP="003D1F0D">
      <w:pPr>
        <w:spacing w:line="480" w:lineRule="auto"/>
        <w:ind w:firstLine="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Another guiding principle throughout his engagements was the Triple Evils. The principles portrayed a vicious circle of violence perpetuated through militarism, racism, and poverty. King spoke against the above aspects as barriers to belonging within the confines of a </w:t>
      </w:r>
      <w:r w:rsidRPr="003D1F0D">
        <w:rPr>
          <w:rFonts w:ascii="Times New Roman" w:hAnsi="Times New Roman" w:cs="Times New Roman"/>
          <w:color w:val="1D1C14"/>
          <w:sz w:val="24"/>
          <w:shd w:val="clear" w:color="auto" w:fill="FFFFFF"/>
        </w:rPr>
        <w:lastRenderedPageBreak/>
        <w:t xml:space="preserve">community. He preached working towards remedying any of the evils and highlighted that such efforts are a remedy to all forms of corruption (Burrow, 2014, p. 32). King illustrated that though poverty was an age-old issue, the nation had new resources to get rid of it, arguing that it breeds indifference and oblivion between the well off and the indigent. The argument against racism was to provide cultural and community fulfillment since the evil separated bodies, as well as minds and spirits. Militarism contributed more hate than any other context, and King argued against spending more on such avenues as opposed to social uplift programs. </w:t>
      </w:r>
    </w:p>
    <w:p w:rsidR="00692CB9" w:rsidRPr="003D1F0D" w:rsidRDefault="00692CB9" w:rsidP="003D1F0D">
      <w:pPr>
        <w:spacing w:line="480" w:lineRule="auto"/>
        <w:ind w:firstLine="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Malcolm X, born as Malcolm Little, was an activist and advocate for the Black Muslim faith. The change in the name was his declaration of freeing himself from the slave name granted given to him at birth. As outspoken as he was, he was continually challenging the nonviolent activists' movement brought to the fold by Martin Luther King Jr. and the civil rights movement (Umoja, 2013, p. 229). His main principle adopted violence, where he reiterated the necessity of using any means necessary in their defense against any form of oppression from the Whites. His involvement consequentially led him to acquire a leadership position in the Nation of Islam, which sought to enfranchise and encourage young black Americans who were victims of segregation. </w:t>
      </w:r>
    </w:p>
    <w:p w:rsidR="00692CB9" w:rsidRPr="003D1F0D" w:rsidRDefault="00692CB9" w:rsidP="003D1F0D">
      <w:pPr>
        <w:spacing w:line="480" w:lineRule="auto"/>
        <w:ind w:firstLine="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After imprisonment from charges of burglary, Malcolm found Muhammad, who taught him that the blacks were the carriers of salvation, and the whites were the devils. Malcolm reverted and changed his name, formerly declaring himself a disciple of Muhammad (Rogers, 2011, p. 19). He served as a minister in Temple number 7 after serving his sentence, and his outspoken stance on self-defense brought about fear and admiration far beyond the reach of Harlem. The whites recoiled at his stance and teachings about the crimes committed against his people. He had a falling out with Muhammad after the latter grew threatened by the rising star's </w:t>
      </w:r>
      <w:r w:rsidRPr="003D1F0D">
        <w:rPr>
          <w:rFonts w:ascii="Times New Roman" w:hAnsi="Times New Roman" w:cs="Times New Roman"/>
          <w:color w:val="1D1C14"/>
          <w:sz w:val="24"/>
          <w:shd w:val="clear" w:color="auto" w:fill="FFFFFF"/>
        </w:rPr>
        <w:lastRenderedPageBreak/>
        <w:t xml:space="preserve">popularity and also failed to join the Civil Union. Malcolm traveled to Mecca and renounced his stance on whites as the devil (Umoja, 2013, p. 222), but still maintained the necessity for freedom, claiming that only the black men could free themselves. </w:t>
      </w:r>
    </w:p>
    <w:p w:rsidR="00692CB9" w:rsidRPr="003D1F0D" w:rsidRDefault="00692CB9" w:rsidP="003D1F0D">
      <w:pPr>
        <w:spacing w:line="480" w:lineRule="auto"/>
        <w:ind w:firstLine="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Malcolm X denounced the principle of nonviolence mostly regarding self-defense since it corrupted the sense that identified and distinguished between friends and enemies. He also reiterated that the concept of nonviolence also facilitated turning of the other cheek, which is a principle that he was against since it meant increased suffering on top of what they were currently enduring. He, however, reiterated the need to respect others, obey the law, and do unto others as one would wish done upon them. Retaliation of attack did not infringe on the above rights, but if attacked, one should be willing to risk their lives in their defense. Malcolm compounded that White men would quickly go back to victimizing the black population if they embodied the philosophy by Dr. Martin Luther King Jr. since it painted them as weak (Rogers, 2011, p. 22). Malcolm was adamant against turning the other cheek but instead threatened that one stands the risk of losing their hands or lives in response to an attack or violation. To him, it was not self-defense, but rather a show of self-reliance and intelligence. </w:t>
      </w:r>
    </w:p>
    <w:p w:rsidR="00692CB9" w:rsidRPr="003D1F0D" w:rsidRDefault="00692CB9" w:rsidP="003D1F0D">
      <w:pPr>
        <w:spacing w:line="480" w:lineRule="auto"/>
        <w:ind w:firstLine="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Angela Davis, on the other hand, was a militant black activist who gained prominence internationally in the course of her conspiracy charges and imprisonment from the year 1970-1972. She was a recognized champion of the black prisoners' cause. Davis also served as a professor in the Los Angeles Campus, where her stance and political opinions lost her appointment as a lecturer despite her excellent record in 1970. The institution had previously fired her for her communism actions, but she fought in court but left after her contract expired. She later served as a professor at the University of California in the history of consciousness in 1991. Davis has been previously associated with the Black Panther but served within its branch </w:t>
      </w:r>
      <w:r w:rsidRPr="003D1F0D">
        <w:rPr>
          <w:rFonts w:ascii="Times New Roman" w:hAnsi="Times New Roman" w:cs="Times New Roman"/>
          <w:color w:val="1D1C14"/>
          <w:sz w:val="24"/>
          <w:shd w:val="clear" w:color="auto" w:fill="FFFFFF"/>
        </w:rPr>
        <w:lastRenderedPageBreak/>
        <w:t xml:space="preserve">called the Che-Lumumba Club. Her back story involved her organizing interracial study groups in which the police broke up. She was also acquainted with some of the four girls of African American descent killed in the Birmingham church bombing of 1963. Growing up in Alabama, she was exposed to racial prejudice early in her teens. </w:t>
      </w:r>
    </w:p>
    <w:p w:rsidR="00692CB9" w:rsidRPr="003D1F0D" w:rsidRDefault="00692CB9" w:rsidP="003D1F0D">
      <w:pPr>
        <w:spacing w:line="480" w:lineRule="auto"/>
        <w:ind w:firstLine="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Davis strongly supported the three Soledad brothers, from Soledad prison who were accused of killing a guard. Several prisoners of African American descent died in the same incidents during a fight with the correctional officers. The prisoners, however, were active communists within the prison, and the correctional officers set them up in this scenario. One of the brothers died while abortively escaping the kidnapping attempt from Marin County within their Hall of Justice in 1970. Her association with the incident brought about sentencing where she was prosecuted because of a claim she was in love with Jackson Soledad and the guns used were registered to her. She was acquitted of the charges after serving for 18 months. In an interview called 'The Black Power Mixtape,' Davis explained that violence was a crucial point of the protests by the Black Panthers (Davis and Platt). Since force was a constant presence within the lives of the minority communities, the communist group saw no ill in structuring it into their agenda. </w:t>
      </w:r>
    </w:p>
    <w:p w:rsidR="00692CB9" w:rsidRPr="003D1F0D" w:rsidRDefault="00692CB9" w:rsidP="003D1F0D">
      <w:pPr>
        <w:spacing w:line="480" w:lineRule="auto"/>
        <w:ind w:firstLine="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Davis pointed out that violence served as an influential standpoint from which the African American community can pursue economic, political, and social justice. The structure of violence also occurred primarily on the streets where the powerless, the poor, and the disenfranchised could protest about their situations. Davis highlighted the need for violence in the Baltimore events as deliberate violence against an oppressive institution, with the intent of bringing about a revolution. Davis also argued peaceful demonstrations were an oxymoron, supporting through Newton's law of physics; every action requires an equal and opposite reaction </w:t>
      </w:r>
      <w:r w:rsidRPr="003D1F0D">
        <w:rPr>
          <w:rFonts w:ascii="Times New Roman" w:hAnsi="Times New Roman" w:cs="Times New Roman"/>
          <w:color w:val="1D1C14"/>
          <w:sz w:val="24"/>
          <w:shd w:val="clear" w:color="auto" w:fill="FFFFFF"/>
        </w:rPr>
        <w:lastRenderedPageBreak/>
        <w:t xml:space="preserve">(Jackson, 2014, p. 288). The assessment follows the manifestation of the same violence that the people endure and live with every day and everywhere. She also expressed the irony in terming the people of color as violent simply because they revealed that the pressure cooker by which they had endured racist violence had reached its peak. Her adamant objective of criminal justice reforms and resistance to prison industrial complex called out to human rights in the depiction of the violations within the institutions with either approval or lack of concern by the United States government. </w:t>
      </w:r>
    </w:p>
    <w:p w:rsidR="00692CB9" w:rsidRPr="003D1F0D" w:rsidRDefault="00692CB9" w:rsidP="003D1F0D">
      <w:pPr>
        <w:spacing w:line="480" w:lineRule="auto"/>
        <w:jc w:val="center"/>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Conclusion</w:t>
      </w:r>
    </w:p>
    <w:p w:rsidR="00692CB9" w:rsidRPr="003D1F0D" w:rsidRDefault="00692CB9" w:rsidP="003D1F0D">
      <w:pPr>
        <w:spacing w:line="480" w:lineRule="auto"/>
        <w:ind w:firstLine="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Despite their varied perspectives and rationalities, the three candidates were crucially successful in their demonstrations and activist groups. The strategies also compound the belief system of each character and the historical exposure that each had witnessed. The faith by both Malcolm and King shaped their agendas and the forums by which they influenced many multitudes. A crucial assessment of the impact of their perspectives is in the shaping of reformative and revolutionary acts within their eras. </w:t>
      </w:r>
    </w:p>
    <w:p w:rsidR="00692CB9" w:rsidRPr="003D1F0D" w:rsidRDefault="00692CB9" w:rsidP="003D1F0D">
      <w:pPr>
        <w:spacing w:line="480" w:lineRule="auto"/>
        <w:rPr>
          <w:rFonts w:ascii="Times New Roman" w:hAnsi="Times New Roman" w:cs="Times New Roman"/>
          <w:color w:val="1D1C14"/>
          <w:sz w:val="24"/>
          <w:shd w:val="clear" w:color="auto" w:fill="FFFFFF"/>
        </w:rPr>
      </w:pPr>
    </w:p>
    <w:p w:rsidR="00692CB9" w:rsidRPr="003D1F0D" w:rsidRDefault="00692CB9" w:rsidP="003D1F0D">
      <w:pPr>
        <w:spacing w:line="480" w:lineRule="auto"/>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br w:type="page"/>
      </w:r>
    </w:p>
    <w:p w:rsidR="00692CB9" w:rsidRPr="003D1F0D" w:rsidRDefault="00692CB9" w:rsidP="003D1F0D">
      <w:pPr>
        <w:spacing w:line="480" w:lineRule="auto"/>
        <w:jc w:val="center"/>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lastRenderedPageBreak/>
        <w:t>References</w:t>
      </w:r>
    </w:p>
    <w:p w:rsidR="00692CB9" w:rsidRPr="003D1F0D" w:rsidRDefault="00692CB9" w:rsidP="003D1F0D">
      <w:pPr>
        <w:spacing w:line="480" w:lineRule="auto"/>
        <w:ind w:left="720" w:hanging="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Burrow, Rufus. </w:t>
      </w:r>
      <w:r w:rsidRPr="003D1F0D">
        <w:rPr>
          <w:rFonts w:ascii="Times New Roman" w:hAnsi="Times New Roman" w:cs="Times New Roman"/>
          <w:i/>
          <w:color w:val="1D1C14"/>
          <w:sz w:val="24"/>
          <w:shd w:val="clear" w:color="auto" w:fill="FFFFFF"/>
        </w:rPr>
        <w:t>Extremist for Love: Martin Luther King Jr., Man of Ideas, and Nonviolent Social Action.</w:t>
      </w:r>
      <w:r w:rsidRPr="003D1F0D">
        <w:rPr>
          <w:rFonts w:ascii="Times New Roman" w:hAnsi="Times New Roman" w:cs="Times New Roman"/>
          <w:color w:val="1D1C14"/>
          <w:sz w:val="24"/>
          <w:shd w:val="clear" w:color="auto" w:fill="FFFFFF"/>
        </w:rPr>
        <w:t xml:space="preserve"> Augsburg Fortress Publishers, 2014.</w:t>
      </w:r>
    </w:p>
    <w:p w:rsidR="00692CB9" w:rsidRPr="003D1F0D" w:rsidRDefault="00692CB9" w:rsidP="003D1F0D">
      <w:pPr>
        <w:spacing w:line="480" w:lineRule="auto"/>
        <w:ind w:left="720" w:hanging="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Davis, Angela, and Tony Platt. "Interview with Angela Davis." </w:t>
      </w:r>
      <w:r w:rsidRPr="003D1F0D">
        <w:rPr>
          <w:rFonts w:ascii="Times New Roman" w:hAnsi="Times New Roman" w:cs="Times New Roman"/>
          <w:i/>
          <w:color w:val="1D1C14"/>
          <w:sz w:val="24"/>
          <w:shd w:val="clear" w:color="auto" w:fill="FFFFFF"/>
        </w:rPr>
        <w:t>Social Justice</w:t>
      </w:r>
      <w:r w:rsidRPr="003D1F0D">
        <w:rPr>
          <w:rFonts w:ascii="Times New Roman" w:hAnsi="Times New Roman" w:cs="Times New Roman"/>
          <w:color w:val="1D1C14"/>
          <w:sz w:val="24"/>
          <w:shd w:val="clear" w:color="auto" w:fill="FFFFFF"/>
        </w:rPr>
        <w:t xml:space="preserve"> 40.1/2(131-132) (2014): 37-53.</w:t>
      </w:r>
    </w:p>
    <w:p w:rsidR="00692CB9" w:rsidRPr="003D1F0D" w:rsidRDefault="00692CB9" w:rsidP="003D1F0D">
      <w:pPr>
        <w:spacing w:line="480" w:lineRule="auto"/>
        <w:ind w:left="720" w:hanging="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Guth, Karen V. "Reconstructing Nonviolence: The Political Theology of Martin Luther King Jr. after Feminism and Womanism." </w:t>
      </w:r>
      <w:r w:rsidRPr="003D1F0D">
        <w:rPr>
          <w:rFonts w:ascii="Times New Roman" w:hAnsi="Times New Roman" w:cs="Times New Roman"/>
          <w:i/>
          <w:color w:val="1D1C14"/>
          <w:sz w:val="24"/>
          <w:shd w:val="clear" w:color="auto" w:fill="FFFFFF"/>
        </w:rPr>
        <w:t>Journal of the Society of Christian Ethics</w:t>
      </w:r>
      <w:r w:rsidRPr="003D1F0D">
        <w:rPr>
          <w:rFonts w:ascii="Times New Roman" w:hAnsi="Times New Roman" w:cs="Times New Roman"/>
          <w:color w:val="1D1C14"/>
          <w:sz w:val="24"/>
          <w:shd w:val="clear" w:color="auto" w:fill="FFFFFF"/>
        </w:rPr>
        <w:t xml:space="preserve"> 32.1 (2012): 75-92.</w:t>
      </w:r>
    </w:p>
    <w:p w:rsidR="00692CB9" w:rsidRPr="003D1F0D" w:rsidRDefault="00692CB9" w:rsidP="003D1F0D">
      <w:pPr>
        <w:spacing w:line="480" w:lineRule="auto"/>
        <w:ind w:left="720" w:hanging="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Jackson, Ronald L. "Don't Forget the Violence in Racist Violations." </w:t>
      </w:r>
      <w:r w:rsidRPr="003D1F0D">
        <w:rPr>
          <w:rFonts w:ascii="Times New Roman" w:hAnsi="Times New Roman" w:cs="Times New Roman"/>
          <w:i/>
          <w:color w:val="1D1C14"/>
          <w:sz w:val="24"/>
          <w:shd w:val="clear" w:color="auto" w:fill="FFFFFF"/>
        </w:rPr>
        <w:t>Journal of International and Intercultural Communication</w:t>
      </w:r>
      <w:r w:rsidRPr="003D1F0D">
        <w:rPr>
          <w:rFonts w:ascii="Times New Roman" w:hAnsi="Times New Roman" w:cs="Times New Roman"/>
          <w:color w:val="1D1C14"/>
          <w:sz w:val="24"/>
          <w:shd w:val="clear" w:color="auto" w:fill="FFFFFF"/>
        </w:rPr>
        <w:t xml:space="preserve"> 7.4 (2014): 287-298.</w:t>
      </w:r>
    </w:p>
    <w:p w:rsidR="00692CB9" w:rsidRPr="003D1F0D" w:rsidRDefault="00692CB9" w:rsidP="003D1F0D">
      <w:pPr>
        <w:spacing w:line="480" w:lineRule="auto"/>
        <w:ind w:left="720" w:hanging="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Nimtz, August H. "Violence and/or Nonviolence in the Success of the Civil Rights Movement: The Malcolm X–Martin Luther King, Jr. Nexus." </w:t>
      </w:r>
      <w:r w:rsidRPr="003D1F0D">
        <w:rPr>
          <w:rFonts w:ascii="Times New Roman" w:hAnsi="Times New Roman" w:cs="Times New Roman"/>
          <w:i/>
          <w:color w:val="1D1C14"/>
          <w:sz w:val="24"/>
          <w:shd w:val="clear" w:color="auto" w:fill="FFFFFF"/>
        </w:rPr>
        <w:t>New Political Science</w:t>
      </w:r>
      <w:r w:rsidRPr="003D1F0D">
        <w:rPr>
          <w:rFonts w:ascii="Times New Roman" w:hAnsi="Times New Roman" w:cs="Times New Roman"/>
          <w:color w:val="1D1C14"/>
          <w:sz w:val="24"/>
          <w:shd w:val="clear" w:color="auto" w:fill="FFFFFF"/>
        </w:rPr>
        <w:t xml:space="preserve"> 38.1 (2016): 1-22.</w:t>
      </w:r>
    </w:p>
    <w:p w:rsidR="00692CB9" w:rsidRPr="003D1F0D" w:rsidRDefault="00692CB9" w:rsidP="003D1F0D">
      <w:pPr>
        <w:spacing w:line="480" w:lineRule="auto"/>
        <w:ind w:left="720" w:hanging="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Rogers, Ibram H. "People all over the world are supporting you": Malcolm X, ideological formations, and black student activism, 1960-1972." </w:t>
      </w:r>
      <w:r w:rsidRPr="003D1F0D">
        <w:rPr>
          <w:rFonts w:ascii="Times New Roman" w:hAnsi="Times New Roman" w:cs="Times New Roman"/>
          <w:i/>
          <w:color w:val="1D1C14"/>
          <w:sz w:val="24"/>
          <w:shd w:val="clear" w:color="auto" w:fill="FFFFFF"/>
        </w:rPr>
        <w:t>The Journal of African American History</w:t>
      </w:r>
      <w:r w:rsidRPr="003D1F0D">
        <w:rPr>
          <w:rFonts w:ascii="Times New Roman" w:hAnsi="Times New Roman" w:cs="Times New Roman"/>
          <w:color w:val="1D1C14"/>
          <w:sz w:val="24"/>
          <w:shd w:val="clear" w:color="auto" w:fill="FFFFFF"/>
        </w:rPr>
        <w:t xml:space="preserve"> 96.1 (2011): 14-39.</w:t>
      </w:r>
    </w:p>
    <w:p w:rsidR="00692CB9" w:rsidRPr="003D1F0D" w:rsidRDefault="00692CB9" w:rsidP="003D1F0D">
      <w:pPr>
        <w:spacing w:line="480" w:lineRule="auto"/>
        <w:ind w:left="720" w:hanging="720"/>
        <w:rPr>
          <w:rFonts w:ascii="Times New Roman" w:hAnsi="Times New Roman" w:cs="Times New Roman"/>
          <w:color w:val="1D1C14"/>
          <w:sz w:val="24"/>
          <w:shd w:val="clear" w:color="auto" w:fill="FFFFFF"/>
        </w:rPr>
      </w:pPr>
      <w:r w:rsidRPr="003D1F0D">
        <w:rPr>
          <w:rFonts w:ascii="Times New Roman" w:hAnsi="Times New Roman" w:cs="Times New Roman"/>
          <w:color w:val="1D1C14"/>
          <w:sz w:val="24"/>
          <w:shd w:val="clear" w:color="auto" w:fill="FFFFFF"/>
        </w:rPr>
        <w:t xml:space="preserve">Umoja, Akinyele. "From One Generation to the Next: Armed Self-Defense, Revolutionary Nationalism, and the Southern Black Freedom Struggle." </w:t>
      </w:r>
      <w:r w:rsidRPr="003D1F0D">
        <w:rPr>
          <w:rFonts w:ascii="Times New Roman" w:hAnsi="Times New Roman" w:cs="Times New Roman"/>
          <w:i/>
          <w:color w:val="1D1C14"/>
          <w:sz w:val="24"/>
          <w:shd w:val="clear" w:color="auto" w:fill="FFFFFF"/>
        </w:rPr>
        <w:t>Souls</w:t>
      </w:r>
      <w:r w:rsidRPr="003D1F0D">
        <w:rPr>
          <w:rFonts w:ascii="Times New Roman" w:hAnsi="Times New Roman" w:cs="Times New Roman"/>
          <w:color w:val="1D1C14"/>
          <w:sz w:val="24"/>
          <w:shd w:val="clear" w:color="auto" w:fill="FFFFFF"/>
        </w:rPr>
        <w:t xml:space="preserve"> 15.2 (2013): 218-240.</w:t>
      </w:r>
    </w:p>
    <w:p w:rsidR="006D292A" w:rsidRPr="003D1F0D" w:rsidRDefault="006D292A" w:rsidP="003D1F0D">
      <w:pPr>
        <w:spacing w:line="480" w:lineRule="auto"/>
        <w:rPr>
          <w:rFonts w:ascii="Times New Roman" w:hAnsi="Times New Roman" w:cs="Times New Roman"/>
          <w:sz w:val="24"/>
          <w:shd w:val="clear" w:color="auto" w:fill="FFFFFF"/>
        </w:rPr>
      </w:pPr>
    </w:p>
    <w:sectPr w:rsidR="006D292A" w:rsidRPr="003D1F0D" w:rsidSect="003D1F0D">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2FAA" w:rsidRDefault="00A42FAA" w:rsidP="00692CB9">
      <w:pPr>
        <w:spacing w:after="0" w:line="240" w:lineRule="auto"/>
      </w:pPr>
      <w:r>
        <w:separator/>
      </w:r>
    </w:p>
  </w:endnote>
  <w:endnote w:type="continuationSeparator" w:id="1">
    <w:p w:rsidR="00A42FAA" w:rsidRDefault="00A42FAA" w:rsidP="00692C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2FAA" w:rsidRDefault="00A42FAA" w:rsidP="00692CB9">
      <w:pPr>
        <w:spacing w:after="0" w:line="240" w:lineRule="auto"/>
      </w:pPr>
      <w:r>
        <w:separator/>
      </w:r>
    </w:p>
  </w:footnote>
  <w:footnote w:type="continuationSeparator" w:id="1">
    <w:p w:rsidR="00A42FAA" w:rsidRDefault="00A42FAA" w:rsidP="00692C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B9" w:rsidRPr="003D1F0D" w:rsidRDefault="003D1F0D">
    <w:pPr>
      <w:pStyle w:val="Header"/>
      <w:jc w:val="right"/>
      <w:rPr>
        <w:rFonts w:ascii="Times New Roman" w:hAnsi="Times New Roman" w:cs="Times New Roman"/>
        <w:sz w:val="24"/>
      </w:rPr>
    </w:pPr>
    <w:r>
      <w:rPr>
        <w:rFonts w:ascii="Times New Roman" w:hAnsi="Times New Roman" w:cs="Times New Roman"/>
        <w:sz w:val="24"/>
      </w:rPr>
      <w:t xml:space="preserve">Surname </w:t>
    </w:r>
    <w:sdt>
      <w:sdtPr>
        <w:rPr>
          <w:rFonts w:ascii="Times New Roman" w:hAnsi="Times New Roman" w:cs="Times New Roman"/>
          <w:sz w:val="24"/>
        </w:rPr>
        <w:id w:val="73737517"/>
        <w:docPartObj>
          <w:docPartGallery w:val="Page Numbers (Top of Page)"/>
          <w:docPartUnique/>
        </w:docPartObj>
      </w:sdtPr>
      <w:sdtContent>
        <w:r w:rsidR="00692CB9" w:rsidRPr="003D1F0D">
          <w:rPr>
            <w:rFonts w:ascii="Times New Roman" w:hAnsi="Times New Roman" w:cs="Times New Roman"/>
            <w:sz w:val="24"/>
          </w:rPr>
          <w:fldChar w:fldCharType="begin"/>
        </w:r>
        <w:r w:rsidR="00692CB9" w:rsidRPr="003D1F0D">
          <w:rPr>
            <w:rFonts w:ascii="Times New Roman" w:hAnsi="Times New Roman" w:cs="Times New Roman"/>
            <w:sz w:val="24"/>
          </w:rPr>
          <w:instrText xml:space="preserve"> PAGE   \* MERGEFORMAT </w:instrText>
        </w:r>
        <w:r w:rsidR="00692CB9" w:rsidRPr="003D1F0D">
          <w:rPr>
            <w:rFonts w:ascii="Times New Roman" w:hAnsi="Times New Roman" w:cs="Times New Roman"/>
            <w:sz w:val="24"/>
          </w:rPr>
          <w:fldChar w:fldCharType="separate"/>
        </w:r>
        <w:r>
          <w:rPr>
            <w:rFonts w:ascii="Times New Roman" w:hAnsi="Times New Roman" w:cs="Times New Roman"/>
            <w:noProof/>
            <w:sz w:val="24"/>
          </w:rPr>
          <w:t>8</w:t>
        </w:r>
        <w:r w:rsidR="00692CB9" w:rsidRPr="003D1F0D">
          <w:rPr>
            <w:rFonts w:ascii="Times New Roman" w:hAnsi="Times New Roman" w:cs="Times New Roman"/>
            <w:sz w:val="24"/>
          </w:rPr>
          <w:fldChar w:fldCharType="end"/>
        </w:r>
      </w:sdtContent>
    </w:sdt>
  </w:p>
  <w:p w:rsidR="00692CB9" w:rsidRPr="003D1F0D" w:rsidRDefault="00692CB9">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B9" w:rsidRPr="00692CB9" w:rsidRDefault="00692CB9">
    <w:pPr>
      <w:pStyle w:val="Header"/>
      <w:jc w:val="right"/>
      <w:rPr>
        <w:rFonts w:ascii="Times New Roman" w:hAnsi="Times New Roman" w:cs="Times New Roman"/>
        <w:sz w:val="24"/>
      </w:rPr>
    </w:pPr>
    <w:r w:rsidRPr="00692CB9">
      <w:rPr>
        <w:rFonts w:ascii="Times New Roman" w:hAnsi="Times New Roman" w:cs="Times New Roman"/>
        <w:sz w:val="24"/>
      </w:rPr>
      <w:t xml:space="preserve">Running Head: COMPARISON OF PHILOSOPHIES AND PERSPECTIVES </w:t>
    </w:r>
    <w:r w:rsidRPr="00692CB9">
      <w:rPr>
        <w:rFonts w:ascii="Times New Roman" w:hAnsi="Times New Roman" w:cs="Times New Roman"/>
        <w:sz w:val="24"/>
      </w:rPr>
      <w:tab/>
    </w:r>
    <w:sdt>
      <w:sdtPr>
        <w:rPr>
          <w:rFonts w:ascii="Times New Roman" w:hAnsi="Times New Roman" w:cs="Times New Roman"/>
          <w:sz w:val="24"/>
        </w:rPr>
        <w:id w:val="73737567"/>
        <w:docPartObj>
          <w:docPartGallery w:val="Page Numbers (Top of Page)"/>
          <w:docPartUnique/>
        </w:docPartObj>
      </w:sdtPr>
      <w:sdtContent>
        <w:r w:rsidRPr="00692CB9">
          <w:rPr>
            <w:rFonts w:ascii="Times New Roman" w:hAnsi="Times New Roman" w:cs="Times New Roman"/>
            <w:sz w:val="24"/>
          </w:rPr>
          <w:fldChar w:fldCharType="begin"/>
        </w:r>
        <w:r w:rsidRPr="00692CB9">
          <w:rPr>
            <w:rFonts w:ascii="Times New Roman" w:hAnsi="Times New Roman" w:cs="Times New Roman"/>
            <w:sz w:val="24"/>
          </w:rPr>
          <w:instrText xml:space="preserve"> PAGE   \* MERGEFORMAT </w:instrText>
        </w:r>
        <w:r w:rsidRPr="00692CB9">
          <w:rPr>
            <w:rFonts w:ascii="Times New Roman" w:hAnsi="Times New Roman" w:cs="Times New Roman"/>
            <w:sz w:val="24"/>
          </w:rPr>
          <w:fldChar w:fldCharType="separate"/>
        </w:r>
        <w:r w:rsidR="003D1F0D">
          <w:rPr>
            <w:rFonts w:ascii="Times New Roman" w:hAnsi="Times New Roman" w:cs="Times New Roman"/>
            <w:noProof/>
            <w:sz w:val="24"/>
          </w:rPr>
          <w:t>1</w:t>
        </w:r>
        <w:r w:rsidRPr="00692CB9">
          <w:rPr>
            <w:rFonts w:ascii="Times New Roman" w:hAnsi="Times New Roman" w:cs="Times New Roman"/>
            <w:sz w:val="24"/>
          </w:rPr>
          <w:fldChar w:fldCharType="end"/>
        </w:r>
      </w:sdtContent>
    </w:sdt>
  </w:p>
  <w:p w:rsidR="00692CB9" w:rsidRPr="00692CB9" w:rsidRDefault="00692CB9">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E21CF"/>
    <w:rsid w:val="00010040"/>
    <w:rsid w:val="00052657"/>
    <w:rsid w:val="00056865"/>
    <w:rsid w:val="00092195"/>
    <w:rsid w:val="000D4033"/>
    <w:rsid w:val="000F6BB0"/>
    <w:rsid w:val="001D1F20"/>
    <w:rsid w:val="0026025B"/>
    <w:rsid w:val="0031343C"/>
    <w:rsid w:val="003D1937"/>
    <w:rsid w:val="003D1F0D"/>
    <w:rsid w:val="003D6585"/>
    <w:rsid w:val="006856FE"/>
    <w:rsid w:val="00692CB9"/>
    <w:rsid w:val="006D292A"/>
    <w:rsid w:val="00705B7D"/>
    <w:rsid w:val="008E21CF"/>
    <w:rsid w:val="00A010C2"/>
    <w:rsid w:val="00A270E5"/>
    <w:rsid w:val="00A42FAA"/>
    <w:rsid w:val="00AB31B6"/>
    <w:rsid w:val="00D37AA4"/>
    <w:rsid w:val="00D65CE3"/>
    <w:rsid w:val="00EC6987"/>
    <w:rsid w:val="00F12A44"/>
    <w:rsid w:val="00F96726"/>
    <w:rsid w:val="00FA21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96726"/>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00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040"/>
    <w:rPr>
      <w:rFonts w:ascii="Tahoma" w:hAnsi="Tahoma" w:cs="Tahoma"/>
      <w:sz w:val="16"/>
      <w:szCs w:val="16"/>
    </w:rPr>
  </w:style>
  <w:style w:type="character" w:customStyle="1" w:styleId="Heading1Char">
    <w:name w:val="Heading 1 Char"/>
    <w:basedOn w:val="DefaultParagraphFont"/>
    <w:link w:val="Heading1"/>
    <w:uiPriority w:val="9"/>
    <w:rsid w:val="00F9672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F96726"/>
  </w:style>
  <w:style w:type="paragraph" w:styleId="Header">
    <w:name w:val="header"/>
    <w:basedOn w:val="Normal"/>
    <w:link w:val="HeaderChar"/>
    <w:uiPriority w:val="99"/>
    <w:unhideWhenUsed/>
    <w:rsid w:val="00692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CB9"/>
  </w:style>
  <w:style w:type="paragraph" w:styleId="Footer">
    <w:name w:val="footer"/>
    <w:basedOn w:val="Normal"/>
    <w:link w:val="FooterChar"/>
    <w:uiPriority w:val="99"/>
    <w:semiHidden/>
    <w:unhideWhenUsed/>
    <w:rsid w:val="00692C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2CB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Umo13</b:Tag>
    <b:SourceType>JournalArticle</b:SourceType>
    <b:Guid>{BA1829DA-C4C1-41F1-87B0-3EDB2E2D7D3D}</b:Guid>
    <b:LCID>0</b:LCID>
    <b:Author>
      <b:Author>
        <b:NameList>
          <b:Person>
            <b:Last>Umoja</b:Last>
            <b:First>Akinyele</b:First>
          </b:Person>
        </b:NameList>
      </b:Author>
    </b:Author>
    <b:Title>From One Generation to the Next: Armed Self-Defense, Revolutionary Nationalism, and the Southern Black Freedom Struggle</b:Title>
    <b:Year>2013</b:Year>
    <b:JournalName>Souls</b:JournalName>
    <b:Pages>218-240</b:Pages>
    <b:Volume>15</b:Volume>
    <b:Issue>2</b:Issue>
    <b:RefOrder>1</b:RefOrder>
  </b:Source>
  <b:Source>
    <b:Tag>Rog11</b:Tag>
    <b:SourceType>JournalArticle</b:SourceType>
    <b:Guid>{DBF0219D-4D9C-45D5-B8CF-3A80BA18B47D}</b:Guid>
    <b:LCID>0</b:LCID>
    <b:Author>
      <b:Author>
        <b:NameList>
          <b:Person>
            <b:Last>Rogers</b:Last>
            <b:First>Ibram</b:First>
            <b:Middle>H.</b:Middle>
          </b:Person>
        </b:NameList>
      </b:Author>
    </b:Author>
    <b:Title>People all over the world are supporting you": Malcolm X, ideological formations, and black student activism, 1960-1972</b:Title>
    <b:JournalName>The Journal of African American History</b:JournalName>
    <b:Year>2011</b:Year>
    <b:Pages>14-39</b:Pages>
    <b:Volume>96</b:Volume>
    <b:Issue>1</b:Issue>
    <b:RefOrder>2</b:RefOrder>
  </b:Source>
  <b:Source>
    <b:Tag>Bur14</b:Tag>
    <b:SourceType>Book</b:SourceType>
    <b:Guid>{D99F9412-BBE2-4183-9DFF-21BAA4D71562}</b:Guid>
    <b:LCID>0</b:LCID>
    <b:Author>
      <b:Author>
        <b:NameList>
          <b:Person>
            <b:Last>Burrow</b:Last>
            <b:First>Rufus</b:First>
          </b:Person>
        </b:NameList>
      </b:Author>
    </b:Author>
    <b:Title>Extremist for Love: Martin Luther King Jr., Man of Ideas and Nonviolent Social Action</b:Title>
    <b:Year>2014</b:Year>
    <b:Publisher>Augsburg Fortress Publishers</b:Publisher>
    <b:RefOrder>3</b:RefOrder>
  </b:Source>
  <b:Source>
    <b:Tag>Gut12</b:Tag>
    <b:SourceType>JournalArticle</b:SourceType>
    <b:Guid>{F859C647-888F-40C5-8CD2-0B48430724C8}</b:Guid>
    <b:LCID>0</b:LCID>
    <b:Author>
      <b:Author>
        <b:NameList>
          <b:Person>
            <b:Last>Guth</b:Last>
            <b:First>Karen</b:First>
            <b:Middle>V.</b:Middle>
          </b:Person>
        </b:NameList>
      </b:Author>
    </b:Author>
    <b:Title>Reconstructing Nonviolence: The Political Theology of Martin Luther King Jr. after Feminism and Womanism</b:Title>
    <b:Year>2012</b:Year>
    <b:JournalName>Journal of the Society of Christian Ethics</b:JournalName>
    <b:Pages>75-92</b:Pages>
    <b:Volume>32</b:Volume>
    <b:Issue>1</b:Issue>
    <b:RefOrder>4</b:RefOrder>
  </b:Source>
  <b:Source>
    <b:Tag>Nim16</b:Tag>
    <b:SourceType>JournalArticle</b:SourceType>
    <b:Guid>{3B93C8A7-297D-4C56-9943-77083C6D6C35}</b:Guid>
    <b:LCID>0</b:LCID>
    <b:Author>
      <b:Author>
        <b:NameList>
          <b:Person>
            <b:Last>Nimtz</b:Last>
            <b:First>August</b:First>
            <b:Middle>H.</b:Middle>
          </b:Person>
        </b:NameList>
      </b:Author>
    </b:Author>
    <b:Title>Violence and/or Nonviolence in the Success of the Civil Rights Movement: The Malcolm X–Martin Luther King, Jr. Nexus</b:Title>
    <b:JournalName>New Political Science</b:JournalName>
    <b:Year>2016</b:Year>
    <b:Pages>1-22</b:Pages>
    <b:Volume>38</b:Volume>
    <b:Issue>1</b:Issue>
    <b:RefOrder>5</b:RefOrder>
  </b:Source>
  <b:Source>
    <b:Tag>Jac14</b:Tag>
    <b:SourceType>JournalArticle</b:SourceType>
    <b:Guid>{27D20CA2-B9F7-418B-9772-456B99DD558D}</b:Guid>
    <b:LCID>0</b:LCID>
    <b:Author>
      <b:Author>
        <b:NameList>
          <b:Person>
            <b:Last>Jackson</b:Last>
            <b:First>Ronald</b:First>
            <b:Middle>L.</b:Middle>
          </b:Person>
        </b:NameList>
      </b:Author>
    </b:Author>
    <b:Title>Don't Forget the Violence in Racist Violations</b:Title>
    <b:JournalName>Journal of International and Intercultural Communication</b:JournalName>
    <b:Year>2014</b:Year>
    <b:Pages>287-298</b:Pages>
    <b:Volume>7</b:Volume>
    <b:Issue>4</b:Issue>
    <b:RefOrder>6</b:RefOrder>
  </b:Source>
  <b:Source>
    <b:Tag>Dav14</b:Tag>
    <b:SourceType>JournalArticle</b:SourceType>
    <b:Guid>{C043DB39-1FC5-4FFD-993F-C3431684EECF}</b:Guid>
    <b:LCID>0</b:LCID>
    <b:Author>
      <b:Author>
        <b:NameList>
          <b:Person>
            <b:Last>Davis</b:Last>
            <b:First>Angela</b:First>
          </b:Person>
          <b:Person>
            <b:Last>Platt</b:Last>
            <b:First>Tony</b:First>
          </b:Person>
        </b:NameList>
      </b:Author>
    </b:Author>
    <b:Title>Interview with Angela Davis</b:Title>
    <b:JournalName>Social Justice</b:JournalName>
    <b:Year>2014</b:Year>
    <b:Pages>37-53</b:Pages>
    <b:Volume>40</b:Volume>
    <b:Issue>1/2(131-132)</b:Issue>
    <b:RefOrder>7</b:RefOrder>
  </b:Source>
</b:Sources>
</file>

<file path=customXml/itemProps1.xml><?xml version="1.0" encoding="utf-8"?>
<ds:datastoreItem xmlns:ds="http://schemas.openxmlformats.org/officeDocument/2006/customXml" ds:itemID="{77E83292-B6A8-402C-A144-D9E92CCC5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8</Pages>
  <Words>2104</Words>
  <Characters>11997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2019-11-11T07:19:00Z</dcterms:created>
  <dcterms:modified xsi:type="dcterms:W3CDTF">2019-11-11T12:00:00Z</dcterms:modified>
</cp:coreProperties>
</file>